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B2C" w:rsidRPr="00365B2C" w:rsidRDefault="00365B2C" w:rsidP="00365B2C">
      <w:pPr>
        <w:shd w:val="clear" w:color="auto" w:fill="FFFFFF"/>
        <w:spacing w:after="0" w:line="234" w:lineRule="atLeast"/>
        <w:jc w:val="center"/>
        <w:rPr>
          <w:rFonts w:ascii="Times New Roman" w:eastAsia="Times New Roman" w:hAnsi="Times New Roman"/>
          <w:color w:val="000000"/>
          <w:sz w:val="27"/>
          <w:szCs w:val="27"/>
        </w:rPr>
      </w:pPr>
      <w:r w:rsidRPr="00365B2C">
        <w:rPr>
          <w:rFonts w:ascii="Times New Roman" w:eastAsia="Times New Roman" w:hAnsi="Times New Roman"/>
          <w:b/>
          <w:bCs/>
          <w:color w:val="000000"/>
          <w:sz w:val="27"/>
          <w:szCs w:val="27"/>
        </w:rPr>
        <w:t>BIỂU MẪU SỐ 02</w:t>
      </w:r>
    </w:p>
    <w:p w:rsidR="00365B2C" w:rsidRPr="00365B2C" w:rsidRDefault="00365B2C" w:rsidP="00365B2C">
      <w:pPr>
        <w:shd w:val="clear" w:color="auto" w:fill="FFFFFF"/>
        <w:spacing w:before="120" w:after="120" w:line="234" w:lineRule="atLeast"/>
        <w:jc w:val="center"/>
        <w:rPr>
          <w:rFonts w:ascii="Times New Roman" w:eastAsia="Times New Roman" w:hAnsi="Times New Roman"/>
          <w:color w:val="000000"/>
          <w:sz w:val="27"/>
          <w:szCs w:val="27"/>
        </w:rPr>
      </w:pPr>
      <w:r w:rsidRPr="00365B2C">
        <w:rPr>
          <w:rFonts w:ascii="Times New Roman" w:eastAsia="Times New Roman" w:hAnsi="Times New Roman"/>
          <w:i/>
          <w:iCs/>
          <w:color w:val="000000"/>
          <w:sz w:val="27"/>
          <w:szCs w:val="27"/>
        </w:rPr>
        <w:t>(Ban hành kèm theo Thông tư số 08/2019/TT-BTP ngày 10/12/2019)</w:t>
      </w:r>
    </w:p>
    <w:tbl>
      <w:tblPr>
        <w:tblW w:w="0" w:type="auto"/>
        <w:tblCellSpacing w:w="0" w:type="dxa"/>
        <w:shd w:val="clear" w:color="auto" w:fill="FFFFFF"/>
        <w:tblCellMar>
          <w:left w:w="0" w:type="dxa"/>
          <w:right w:w="0" w:type="dxa"/>
        </w:tblCellMar>
        <w:tblLook w:val="04A0"/>
      </w:tblPr>
      <w:tblGrid>
        <w:gridCol w:w="3408"/>
        <w:gridCol w:w="5879"/>
      </w:tblGrid>
      <w:tr w:rsidR="00365B2C" w:rsidRPr="00365B2C" w:rsidTr="00566E74">
        <w:trPr>
          <w:tblCellSpacing w:w="0" w:type="dxa"/>
        </w:trPr>
        <w:tc>
          <w:tcPr>
            <w:tcW w:w="3408" w:type="dxa"/>
            <w:shd w:val="clear" w:color="auto" w:fill="FFFFFF"/>
            <w:tcMar>
              <w:top w:w="0" w:type="dxa"/>
              <w:left w:w="108" w:type="dxa"/>
              <w:bottom w:w="0" w:type="dxa"/>
              <w:right w:w="108" w:type="dxa"/>
            </w:tcMar>
            <w:hideMark/>
          </w:tcPr>
          <w:p w:rsidR="00365B2C" w:rsidRPr="00365B2C" w:rsidRDefault="00365B2C" w:rsidP="00566E74">
            <w:pPr>
              <w:spacing w:before="120" w:after="120" w:line="234" w:lineRule="atLeast"/>
              <w:jc w:val="center"/>
              <w:rPr>
                <w:rFonts w:ascii="Times New Roman" w:eastAsia="Times New Roman" w:hAnsi="Times New Roman"/>
                <w:color w:val="000000"/>
                <w:sz w:val="27"/>
                <w:szCs w:val="27"/>
              </w:rPr>
            </w:pPr>
            <w:r w:rsidRPr="00365B2C">
              <w:rPr>
                <w:rFonts w:ascii="Times New Roman" w:eastAsia="Times New Roman" w:hAnsi="Times New Roman"/>
                <w:b/>
                <w:bCs/>
                <w:color w:val="000000"/>
                <w:sz w:val="27"/>
                <w:szCs w:val="27"/>
              </w:rPr>
              <w:t>CƠ QUAN BÁO CÁO</w:t>
            </w:r>
            <w:r w:rsidRPr="00365B2C">
              <w:rPr>
                <w:rFonts w:ascii="Times New Roman" w:eastAsia="Times New Roman" w:hAnsi="Times New Roman"/>
                <w:b/>
                <w:bCs/>
                <w:color w:val="000000"/>
                <w:sz w:val="27"/>
                <w:szCs w:val="27"/>
              </w:rPr>
              <w:br/>
              <w:t>-------</w:t>
            </w:r>
          </w:p>
        </w:tc>
        <w:tc>
          <w:tcPr>
            <w:tcW w:w="5879" w:type="dxa"/>
            <w:shd w:val="clear" w:color="auto" w:fill="FFFFFF"/>
            <w:tcMar>
              <w:top w:w="0" w:type="dxa"/>
              <w:left w:w="108" w:type="dxa"/>
              <w:bottom w:w="0" w:type="dxa"/>
              <w:right w:w="108" w:type="dxa"/>
            </w:tcMar>
            <w:hideMark/>
          </w:tcPr>
          <w:p w:rsidR="00365B2C" w:rsidRPr="00365B2C" w:rsidRDefault="00365B2C" w:rsidP="00566E74">
            <w:pPr>
              <w:spacing w:before="120" w:after="120" w:line="234" w:lineRule="atLeast"/>
              <w:jc w:val="center"/>
              <w:rPr>
                <w:rFonts w:ascii="Times New Roman" w:eastAsia="Times New Roman" w:hAnsi="Times New Roman"/>
                <w:color w:val="000000"/>
                <w:sz w:val="27"/>
                <w:szCs w:val="27"/>
              </w:rPr>
            </w:pPr>
            <w:r w:rsidRPr="00365B2C">
              <w:rPr>
                <w:rFonts w:ascii="Times New Roman" w:eastAsia="Times New Roman" w:hAnsi="Times New Roman"/>
                <w:b/>
                <w:bCs/>
                <w:color w:val="000000"/>
                <w:sz w:val="27"/>
                <w:szCs w:val="27"/>
              </w:rPr>
              <w:t>CỘNG HÒA XÃ HỘI CHỦ NGHĨA VIỆT NAM</w:t>
            </w:r>
            <w:r w:rsidRPr="00365B2C">
              <w:rPr>
                <w:rFonts w:ascii="Times New Roman" w:eastAsia="Times New Roman" w:hAnsi="Times New Roman"/>
                <w:b/>
                <w:bCs/>
                <w:color w:val="000000"/>
                <w:sz w:val="27"/>
                <w:szCs w:val="27"/>
              </w:rPr>
              <w:br/>
              <w:t>Độc lập - Tự do - Hạnh phúc</w:t>
            </w:r>
            <w:r w:rsidRPr="00365B2C">
              <w:rPr>
                <w:rFonts w:ascii="Times New Roman" w:eastAsia="Times New Roman" w:hAnsi="Times New Roman"/>
                <w:b/>
                <w:bCs/>
                <w:color w:val="000000"/>
                <w:sz w:val="27"/>
                <w:szCs w:val="27"/>
              </w:rPr>
              <w:br/>
              <w:t>---------------</w:t>
            </w:r>
          </w:p>
        </w:tc>
      </w:tr>
    </w:tbl>
    <w:p w:rsidR="00365B2C" w:rsidRPr="00365B2C" w:rsidRDefault="00365B2C" w:rsidP="00365B2C">
      <w:pPr>
        <w:shd w:val="clear" w:color="auto" w:fill="FFFFFF"/>
        <w:spacing w:after="0" w:line="234" w:lineRule="atLeast"/>
        <w:jc w:val="center"/>
        <w:rPr>
          <w:rFonts w:ascii="Times New Roman" w:eastAsia="Times New Roman" w:hAnsi="Times New Roman"/>
          <w:color w:val="000000"/>
          <w:sz w:val="27"/>
          <w:szCs w:val="27"/>
        </w:rPr>
      </w:pPr>
      <w:bookmarkStart w:id="0" w:name="chuong_pl_2_name"/>
      <w:r w:rsidRPr="00365B2C">
        <w:rPr>
          <w:rFonts w:ascii="Times New Roman" w:eastAsia="Times New Roman" w:hAnsi="Times New Roman"/>
          <w:b/>
          <w:bCs/>
          <w:color w:val="000000"/>
          <w:sz w:val="27"/>
          <w:szCs w:val="27"/>
        </w:rPr>
        <w:t>BÁO CÁO</w:t>
      </w:r>
      <w:bookmarkEnd w:id="0"/>
    </w:p>
    <w:p w:rsidR="00365B2C" w:rsidRPr="00365B2C" w:rsidRDefault="00365B2C" w:rsidP="00365B2C">
      <w:pPr>
        <w:shd w:val="clear" w:color="auto" w:fill="FFFFFF"/>
        <w:spacing w:after="0" w:line="234" w:lineRule="atLeast"/>
        <w:jc w:val="center"/>
        <w:rPr>
          <w:rFonts w:ascii="Times New Roman" w:eastAsia="Times New Roman" w:hAnsi="Times New Roman"/>
          <w:color w:val="000000"/>
          <w:sz w:val="27"/>
          <w:szCs w:val="27"/>
        </w:rPr>
      </w:pPr>
      <w:bookmarkStart w:id="1" w:name="chuong_pl_2_name_name"/>
      <w:r w:rsidRPr="00365B2C">
        <w:rPr>
          <w:rFonts w:ascii="Times New Roman" w:eastAsia="Times New Roman" w:hAnsi="Times New Roman"/>
          <w:b/>
          <w:bCs/>
          <w:color w:val="000000"/>
          <w:sz w:val="27"/>
          <w:szCs w:val="27"/>
        </w:rPr>
        <w:t>Công tác bồi thường nhà nước năm ……</w:t>
      </w:r>
      <w:bookmarkEnd w:id="1"/>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b/>
          <w:bCs/>
          <w:color w:val="000000"/>
          <w:sz w:val="27"/>
          <w:szCs w:val="27"/>
        </w:rPr>
        <w:t>I. Kết quả công tác bồi thường năm ……</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b/>
          <w:bCs/>
          <w:color w:val="000000"/>
          <w:sz w:val="27"/>
          <w:szCs w:val="27"/>
        </w:rPr>
        <w:t>1. Tình hình yêu cầu bồi thường, kết quả giải quyết bồi thường</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Đánh giá tình hình yêu cầu bồi thường, kết quả giải quyết bồi thường.</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Việc cấp phát kinh phí và chi trả tiền bồi thường.</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Việc xác định trách nhiệm hoàn trả của người thi hành công vụ gây thiệt hại.</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Việc xử lý kỷ luật người thi hành công vụ gây thiệt hại.</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b/>
          <w:bCs/>
          <w:color w:val="000000"/>
          <w:sz w:val="27"/>
          <w:szCs w:val="27"/>
        </w:rPr>
        <w:t>2. Kết quả thực hiện công tác bồi thường nhà nước</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Xây dựng và thực hiện Kế hoạch công tác bồi thường nhà nước năm …..</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Công tác xây dựng, hoàn thiện thể chế về trách nhiệm bồi thường của Nhà nước (đối với Bộ, ngành Trung ương).</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Công tác phổ biến, giáo dục pháp luật về trách nhiệm bồi thường của Nhà nước.</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Thực hiện quản lý chuyên ngành về bồi thường nhà nước trên các mặt công tác: hướng dẫn, bồi dưỡng kỹ năng, nghiệp vụ công tác bồi thường nhà nước; xác định cơ quan giải quyết bồi thường; hướng dẫn người bị thiệt hại thực hiện thủ tục yêu cầu bồi thường; theo dõi, đôn đốc, kiểm tra công tác bồi thường nhà nước; giải quyết khiếu nại, tố cáo, xử lý vi phạm trong công tác bồi thường nhà nước; kiến nghị cơ quan có thẩm quyền trong việc giải quyết bồi thường, thực hiện trách nhiệm hoàn trả theo quy định của pháp luật.</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Chỉ đạo cơ quan giải quyết bồi thường thực hiện giải quyết bồi thường, xác định trách nhiệm hoàn trả, thực hiện quyết định hoàn trả và thực hiện xử lý kỷ luật người thi hành công vụ gây thiệt hại.</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Chỉ đạo xử lý vi phạm trong việc giải quyết bồi thường, thực hiện trách nhiệm hoàn trả.</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Công tác phối hợp thực hiện công tác bồi thường nhà nước.</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Công tác báo cáo, thống kê về công tác bồi thường nhà nước.</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b/>
          <w:bCs/>
          <w:color w:val="000000"/>
          <w:sz w:val="27"/>
          <w:szCs w:val="27"/>
        </w:rPr>
        <w:t>3. Đánh giá chung về kết quả công tác bồi thường nhà nước</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Đánh giá chung những kết quả đạt được</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color w:val="000000"/>
          <w:sz w:val="27"/>
          <w:szCs w:val="27"/>
        </w:rPr>
        <w:t>- Những vướng mắc, bất cập và nguyên nhân</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b/>
          <w:bCs/>
          <w:color w:val="000000"/>
          <w:sz w:val="27"/>
          <w:szCs w:val="27"/>
        </w:rPr>
        <w:t>II. Nhiệm vụ trọng tâm và giải pháp thực hiện công tác bồi thường nhà nước năm …</w:t>
      </w:r>
    </w:p>
    <w:p w:rsidR="00365B2C" w:rsidRPr="00365B2C" w:rsidRDefault="00365B2C" w:rsidP="00365B2C">
      <w:pPr>
        <w:shd w:val="clear" w:color="auto" w:fill="FFFFFF"/>
        <w:spacing w:after="0" w:line="240" w:lineRule="auto"/>
        <w:jc w:val="both"/>
        <w:rPr>
          <w:rFonts w:ascii="Times New Roman" w:eastAsia="Times New Roman" w:hAnsi="Times New Roman"/>
          <w:color w:val="000000"/>
          <w:sz w:val="27"/>
          <w:szCs w:val="27"/>
        </w:rPr>
      </w:pPr>
      <w:r w:rsidRPr="00365B2C">
        <w:rPr>
          <w:rFonts w:ascii="Times New Roman" w:eastAsia="Times New Roman" w:hAnsi="Times New Roman"/>
          <w:b/>
          <w:bCs/>
          <w:color w:val="000000"/>
          <w:sz w:val="27"/>
          <w:szCs w:val="27"/>
        </w:rPr>
        <w:t>III. Đề xuất, kiến nghị</w:t>
      </w:r>
      <w:r w:rsidRPr="00365B2C">
        <w:rPr>
          <w:rFonts w:ascii="Times New Roman" w:eastAsia="Times New Roman" w:hAnsi="Times New Roman"/>
          <w:color w:val="000000"/>
          <w:sz w:val="27"/>
          <w:szCs w:val="27"/>
        </w:rPr>
        <w:t> </w:t>
      </w:r>
    </w:p>
    <w:tbl>
      <w:tblPr>
        <w:tblW w:w="0" w:type="auto"/>
        <w:tblCellSpacing w:w="0" w:type="dxa"/>
        <w:shd w:val="clear" w:color="auto" w:fill="FFFFFF"/>
        <w:tblCellMar>
          <w:left w:w="0" w:type="dxa"/>
          <w:right w:w="0" w:type="dxa"/>
        </w:tblCellMar>
        <w:tblLook w:val="04A0"/>
      </w:tblPr>
      <w:tblGrid>
        <w:gridCol w:w="3756"/>
        <w:gridCol w:w="6148"/>
      </w:tblGrid>
      <w:tr w:rsidR="00365B2C" w:rsidRPr="00365B2C" w:rsidTr="00566E74">
        <w:trPr>
          <w:tblCellSpacing w:w="0" w:type="dxa"/>
        </w:trPr>
        <w:tc>
          <w:tcPr>
            <w:tcW w:w="4908" w:type="dxa"/>
            <w:shd w:val="clear" w:color="auto" w:fill="FFFFFF"/>
            <w:tcMar>
              <w:top w:w="0" w:type="dxa"/>
              <w:left w:w="108" w:type="dxa"/>
              <w:bottom w:w="0" w:type="dxa"/>
              <w:right w:w="108" w:type="dxa"/>
            </w:tcMar>
            <w:hideMark/>
          </w:tcPr>
          <w:p w:rsidR="00365B2C" w:rsidRPr="00365B2C" w:rsidRDefault="00365B2C" w:rsidP="00566E74">
            <w:pPr>
              <w:spacing w:before="120" w:after="120" w:line="234" w:lineRule="atLeast"/>
              <w:rPr>
                <w:rFonts w:ascii="Times New Roman" w:eastAsia="Times New Roman" w:hAnsi="Times New Roman"/>
                <w:color w:val="000000"/>
                <w:sz w:val="27"/>
                <w:szCs w:val="27"/>
              </w:rPr>
            </w:pPr>
            <w:r w:rsidRPr="00365B2C">
              <w:rPr>
                <w:rFonts w:ascii="Times New Roman" w:eastAsia="Times New Roman" w:hAnsi="Times New Roman"/>
                <w:b/>
                <w:bCs/>
                <w:i/>
                <w:iCs/>
                <w:color w:val="000000"/>
                <w:sz w:val="27"/>
                <w:szCs w:val="27"/>
              </w:rPr>
              <w:br/>
              <w:t>Nơi nhận:</w:t>
            </w:r>
            <w:r w:rsidRPr="00365B2C">
              <w:rPr>
                <w:rFonts w:ascii="Times New Roman" w:eastAsia="Times New Roman" w:hAnsi="Times New Roman"/>
                <w:b/>
                <w:bCs/>
                <w:i/>
                <w:iCs/>
                <w:color w:val="000000"/>
                <w:sz w:val="27"/>
                <w:szCs w:val="27"/>
              </w:rPr>
              <w:br/>
            </w:r>
            <w:r w:rsidRPr="00365B2C">
              <w:rPr>
                <w:rFonts w:ascii="Times New Roman" w:eastAsia="Times New Roman" w:hAnsi="Times New Roman"/>
                <w:color w:val="000000"/>
                <w:sz w:val="27"/>
                <w:szCs w:val="27"/>
              </w:rPr>
              <w:t>- Cơ quan quản lý nhà nước về công tác bồi thường (để báo cáo);</w:t>
            </w:r>
            <w:r w:rsidRPr="00365B2C">
              <w:rPr>
                <w:rFonts w:ascii="Times New Roman" w:eastAsia="Times New Roman" w:hAnsi="Times New Roman"/>
                <w:color w:val="000000"/>
                <w:sz w:val="27"/>
                <w:szCs w:val="27"/>
              </w:rPr>
              <w:br/>
              <w:t>- Lưu: VT, …</w:t>
            </w:r>
          </w:p>
        </w:tc>
        <w:tc>
          <w:tcPr>
            <w:tcW w:w="8280" w:type="dxa"/>
            <w:shd w:val="clear" w:color="auto" w:fill="FFFFFF"/>
            <w:tcMar>
              <w:top w:w="0" w:type="dxa"/>
              <w:left w:w="108" w:type="dxa"/>
              <w:bottom w:w="0" w:type="dxa"/>
              <w:right w:w="108" w:type="dxa"/>
            </w:tcMar>
            <w:hideMark/>
          </w:tcPr>
          <w:p w:rsidR="00365B2C" w:rsidRPr="00365B2C" w:rsidRDefault="00365B2C" w:rsidP="00566E74">
            <w:pPr>
              <w:spacing w:before="120" w:after="120" w:line="234" w:lineRule="atLeast"/>
              <w:jc w:val="center"/>
              <w:rPr>
                <w:rFonts w:ascii="Times New Roman" w:eastAsia="Times New Roman" w:hAnsi="Times New Roman"/>
                <w:color w:val="000000"/>
                <w:sz w:val="27"/>
                <w:szCs w:val="27"/>
              </w:rPr>
            </w:pPr>
            <w:r w:rsidRPr="00365B2C">
              <w:rPr>
                <w:rFonts w:ascii="Times New Roman" w:eastAsia="Times New Roman" w:hAnsi="Times New Roman"/>
                <w:b/>
                <w:bCs/>
                <w:color w:val="000000"/>
                <w:sz w:val="27"/>
                <w:szCs w:val="27"/>
              </w:rPr>
              <w:t>Thủ trưởng cơ quan</w:t>
            </w:r>
            <w:r w:rsidRPr="00365B2C">
              <w:rPr>
                <w:rFonts w:ascii="Times New Roman" w:eastAsia="Times New Roman" w:hAnsi="Times New Roman"/>
                <w:color w:val="000000"/>
                <w:sz w:val="27"/>
                <w:szCs w:val="27"/>
              </w:rPr>
              <w:br/>
            </w:r>
            <w:r w:rsidRPr="00365B2C">
              <w:rPr>
                <w:rFonts w:ascii="Times New Roman" w:eastAsia="Times New Roman" w:hAnsi="Times New Roman"/>
                <w:i/>
                <w:iCs/>
                <w:color w:val="000000"/>
                <w:sz w:val="27"/>
                <w:szCs w:val="27"/>
              </w:rPr>
              <w:t>(ký, ghi rõ họ tên và đóng dấu)</w:t>
            </w:r>
          </w:p>
        </w:tc>
      </w:tr>
    </w:tbl>
    <w:p w:rsidR="00C63FEB" w:rsidRDefault="00C63FEB"/>
    <w:sectPr w:rsidR="00C63FEB" w:rsidSect="00365B2C">
      <w:pgSz w:w="12240" w:h="15840"/>
      <w:pgMar w:top="737" w:right="1134" w:bottom="73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365B2C"/>
    <w:rsid w:val="00365B2C"/>
    <w:rsid w:val="00BB00D0"/>
    <w:rsid w:val="00C63FEB"/>
    <w:rsid w:val="00D73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1888</Characters>
  <Application>Microsoft Office Word</Application>
  <DocSecurity>0</DocSecurity>
  <Lines>15</Lines>
  <Paragraphs>4</Paragraphs>
  <ScaleCrop>false</ScaleCrop>
  <Company>Net</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 Room</dc:creator>
  <cp:lastModifiedBy>DELL</cp:lastModifiedBy>
  <cp:revision>2</cp:revision>
  <cp:lastPrinted>2020-11-03T00:59:00Z</cp:lastPrinted>
  <dcterms:created xsi:type="dcterms:W3CDTF">2020-11-03T01:28:00Z</dcterms:created>
  <dcterms:modified xsi:type="dcterms:W3CDTF">2020-11-03T01:28:00Z</dcterms:modified>
</cp:coreProperties>
</file>